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sz w:val="42"/>
          <w:szCs w:val="42"/>
        </w:rPr>
      </w:pPr>
      <w:r>
        <w:rPr>
          <w:sz w:val="42"/>
          <w:szCs w:val="42"/>
          <w:rtl w:val="0"/>
        </w:rPr>
        <w:t>Program stypendialny imienia Klausa Toepfera</w:t>
      </w:r>
    </w:p>
    <w:p>
      <w:pPr>
        <w:pStyle w:val="Body"/>
        <w:jc w:val="both"/>
        <w:rPr>
          <w:sz w:val="42"/>
          <w:szCs w:val="42"/>
        </w:rPr>
      </w:pP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Program stypendialny imienia Klausa Toepfera jest propozycj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dla m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odych os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b, kt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re dopiero zaczynaj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swoj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karier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profesjonaln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 xml:space="preserve">w dziedzinie prac na rzecz ochrony 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rodowiska (w organizacjach poza- i rz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 xml:space="preserve">dowych, akademickich i tym podobnych), na terenie 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rodkowej i Wschodniej Europy, Kaukazu oraz Azji Centralnej. Wymagane jest conajmniej trzy letnie do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wiadczenie i osoby, kt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re nie przekroczy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 jeszcze trzydziestego sz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 xml:space="preserve">stego roku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ycia (preferencyjnie). Program jest przeznaczony dla wschodz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cych lider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 xml:space="preserve">w w zakresie ochrony 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rodowiska, maj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cych wsparcie swoich w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asnych organizacji matczynych, a tak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tych, kt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 xml:space="preserve">rzy 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wiadomie i w pe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ni oddaj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rozwijaniu kariery we w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asnym kraju oraz regionie.</w:t>
      </w:r>
    </w:p>
    <w:p>
      <w:pPr>
        <w:pStyle w:val="Body"/>
        <w:jc w:val="both"/>
        <w:rPr>
          <w:sz w:val="24"/>
          <w:szCs w:val="24"/>
        </w:rPr>
      </w:pP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Organizatorzy szukaj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uczestnik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w z silnymi cechami dobrego lidera, kt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ry jest gotowy pe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ni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rol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przewodnicz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cego ca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ej sprawie ochrony przyrody na terenie swojej ojczyzny. W celu wzmocnienia instytucji ochrony 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rodowiska, kandydaci musz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by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gotowi na dzielenie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zebran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dot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d wiedz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. Przy rozwa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aniu wzi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cia udzia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u w programie nale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 mie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 xml:space="preserve">na uwadze,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stypendium nie skupia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 xml:space="preserve">na metodach badawczych czy edukacji na tematy 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rodowiskowe. Potencja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le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 xml:space="preserve">y w rozszerzaniu 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wiadomo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 uczestnika na temat strategii ochronnych i ich pe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nym zrozumieniu oraz poj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ciu zar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 xml:space="preserve">wno globalnej, jak i lokalnej polityki 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 xml:space="preserve">rodowiskowej. </w:t>
      </w:r>
    </w:p>
    <w:p>
      <w:pPr>
        <w:pStyle w:val="Body"/>
        <w:jc w:val="both"/>
        <w:rPr>
          <w:sz w:val="24"/>
          <w:szCs w:val="24"/>
        </w:rPr>
      </w:pP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Wymagane dokumenty do aplikacji to:</w:t>
      </w:r>
    </w:p>
    <w:p>
      <w:pPr>
        <w:pStyle w:val="Body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wype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niony formularz aplikacyjny;</w:t>
      </w:r>
    </w:p>
    <w:p>
      <w:pPr>
        <w:pStyle w:val="Body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dyplom uko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czenia szko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 wy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szej;</w:t>
      </w:r>
    </w:p>
    <w:p>
      <w:pPr>
        <w:pStyle w:val="Body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dyplom potwierdzaj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 bieg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zykow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(nieobowi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zkowy);</w:t>
      </w:r>
    </w:p>
    <w:p>
      <w:pPr>
        <w:pStyle w:val="Body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znajomo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zyka angielskiego jest warunkiem koniecznym do spe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niania w ramach uczestnictwa w programie Klausa Toepfera. Je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li kandydat nie posiada certyfikatu z j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zyka angielskiego, umiej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tno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ta mo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zosta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 xml:space="preserve">zweryfikowana poprzez wywiad telefoniczny i/lub egzamin internetowy; </w:t>
      </w:r>
    </w:p>
    <w:p>
      <w:pPr>
        <w:pStyle w:val="Body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Curriculum Vitae;</w:t>
      </w:r>
    </w:p>
    <w:p>
      <w:pPr>
        <w:pStyle w:val="Body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wniosek zg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oszeniowy od pracodawcy;</w:t>
      </w:r>
    </w:p>
    <w:p>
      <w:pPr>
        <w:pStyle w:val="Body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list polecaj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 instytucji zatrudniaj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cej oraz jednej wybranej osoby;</w:t>
      </w:r>
    </w:p>
    <w:p>
      <w:pPr>
        <w:pStyle w:val="Body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kopia paszportu.</w:t>
      </w:r>
    </w:p>
    <w:p>
      <w:pPr>
        <w:pStyle w:val="Body"/>
        <w:jc w:val="both"/>
        <w:rPr>
          <w:sz w:val="24"/>
          <w:szCs w:val="24"/>
        </w:rPr>
      </w:pP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Wszystkie dokumenty musz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zosta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podpisane imieniem i nazwiskiem kandydata (n.p. aplikacja_imi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_nazwisko.doc) i wys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ane w formacie word lub pdf na adres e-mail ktf@bfn.de.</w:t>
      </w:r>
    </w:p>
    <w:p>
      <w:pPr>
        <w:pStyle w:val="Body"/>
        <w:jc w:val="both"/>
        <w:rPr>
          <w:sz w:val="24"/>
          <w:szCs w:val="24"/>
        </w:rPr>
      </w:pP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Ten osiemnastomiesi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czny program sk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ada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z dwunastu dni treningowych - odbywaj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cych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na wyspie Vilm (Niemcy) - a tak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dodatkowych zada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, kt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re zakwalifikowani uczestnicy 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zobowi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zani wykona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jako praca domowa w swoich krajach ojczystych w czasie przerw pomi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dzy modu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ami. Data rozpocz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cia nowego cyklu oraz startu aplikacji zostan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wkr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tce og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oszone na stronie internetowej.</w:t>
      </w:r>
    </w:p>
    <w:p>
      <w:pPr>
        <w:pStyle w:val="Body"/>
        <w:jc w:val="both"/>
        <w:rPr>
          <w:sz w:val="24"/>
          <w:szCs w:val="24"/>
        </w:rPr>
      </w:pP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Program stypendialny imienia Klausa Toepfera to projekt pozaprogramowy. Tym samym, uczestnicy musz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by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 xml:space="preserve">obecni tylko na 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wiczeniach na terenie Niemiec podczas czterech dwunastodniowych modu</w:t>
      </w:r>
      <w:r>
        <w:rPr>
          <w:sz w:val="24"/>
          <w:szCs w:val="24"/>
          <w:rtl w:val="0"/>
        </w:rPr>
        <w:t>łó</w:t>
      </w:r>
      <w:r>
        <w:rPr>
          <w:sz w:val="24"/>
          <w:szCs w:val="24"/>
          <w:rtl w:val="0"/>
        </w:rPr>
        <w:t>w. Pomi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dzy obozami oczekuje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od cz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onk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w programu powrotu do w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asnych miejsc zamieszkania i pracy, gdzie 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wykonywali dodatkowe zadania tj. dawanie korepetycje internetowe czy opracowanie studium przypadku.</w:t>
      </w:r>
    </w:p>
    <w:p>
      <w:pPr>
        <w:pStyle w:val="Body"/>
        <w:jc w:val="both"/>
        <w:rPr>
          <w:sz w:val="24"/>
          <w:szCs w:val="24"/>
        </w:rPr>
      </w:pP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Uczestnictwo w programie stypendialnym imienia Klausa Toepfera jest bezp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atne. Uczestnicy maj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zagwarantowane wy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ywienie i zakwaterowanie w czasie modu</w:t>
      </w:r>
      <w:r>
        <w:rPr>
          <w:sz w:val="24"/>
          <w:szCs w:val="24"/>
          <w:rtl w:val="0"/>
        </w:rPr>
        <w:t>łó</w:t>
      </w:r>
      <w:r>
        <w:rPr>
          <w:sz w:val="24"/>
          <w:szCs w:val="24"/>
          <w:rtl w:val="0"/>
        </w:rPr>
        <w:t>w, a tak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koszty ich podr</w:t>
      </w:r>
      <w:r>
        <w:rPr>
          <w:sz w:val="24"/>
          <w:szCs w:val="24"/>
          <w:rtl w:val="0"/>
        </w:rPr>
        <w:t>óż</w:t>
      </w:r>
      <w:r>
        <w:rPr>
          <w:sz w:val="24"/>
          <w:szCs w:val="24"/>
          <w:rtl w:val="0"/>
        </w:rPr>
        <w:t>y zostan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cz</w:t>
      </w:r>
      <w:r>
        <w:rPr>
          <w:sz w:val="24"/>
          <w:szCs w:val="24"/>
          <w:rtl w:val="0"/>
        </w:rPr>
        <w:t>ęś</w:t>
      </w:r>
      <w:r>
        <w:rPr>
          <w:sz w:val="24"/>
          <w:szCs w:val="24"/>
          <w:rtl w:val="0"/>
        </w:rPr>
        <w:t>ciowo pokryte. Ubezpieczenie zdrowotne podczas pobytu w Niemczech oraz koszty zwi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zane z aplikacj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po wiz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wnie</w:t>
      </w:r>
      <w:r>
        <w:rPr>
          <w:sz w:val="24"/>
          <w:szCs w:val="24"/>
          <w:rtl w:val="0"/>
        </w:rPr>
        <w:t xml:space="preserve">ż 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w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>czone w rozliczenie. Niemniej jednak, cz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onkowie musz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sami do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do koszt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w podr</w:t>
      </w:r>
      <w:r>
        <w:rPr>
          <w:sz w:val="24"/>
          <w:szCs w:val="24"/>
          <w:rtl w:val="0"/>
        </w:rPr>
        <w:t>óż</w:t>
      </w:r>
      <w:r>
        <w:rPr>
          <w:sz w:val="24"/>
          <w:szCs w:val="24"/>
          <w:rtl w:val="0"/>
        </w:rPr>
        <w:t>y. Podzia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pokrycia owych wydatk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w zostanie rozliczony zgodnie ze schematem, kt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ry jest oparty na wysoko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 PKB kraju pochodzenia danego uczestnika.</w:t>
      </w:r>
    </w:p>
    <w:p>
      <w:pPr>
        <w:pStyle w:val="Body"/>
        <w:jc w:val="both"/>
        <w:rPr>
          <w:sz w:val="24"/>
          <w:szCs w:val="24"/>
        </w:rPr>
      </w:pPr>
    </w:p>
    <w:p>
      <w:pPr>
        <w:pStyle w:val="Body"/>
        <w:jc w:val="both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sz w:val="24"/>
          <w:szCs w:val="24"/>
          <w:rtl w:val="0"/>
        </w:rPr>
        <w:t>Wi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cej szczeg</w:t>
      </w:r>
      <w:r>
        <w:rPr>
          <w:sz w:val="24"/>
          <w:szCs w:val="24"/>
          <w:rtl w:val="0"/>
        </w:rPr>
        <w:t>ółó</w:t>
      </w:r>
      <w:r>
        <w:rPr>
          <w:sz w:val="24"/>
          <w:szCs w:val="24"/>
          <w:rtl w:val="0"/>
        </w:rPr>
        <w:t xml:space="preserve">w na </w:t>
      </w:r>
      <w:r>
        <w:rPr>
          <w:rFonts w:ascii="Calibri" w:hAnsi="Calibri"/>
          <w:i w:val="1"/>
          <w:iCs w:val="1"/>
          <w:sz w:val="24"/>
          <w:szCs w:val="24"/>
          <w:rtl w:val="0"/>
        </w:rPr>
        <w:t>https://www.bfn.de/application</w:t>
      </w:r>
    </w:p>
    <w:p>
      <w:pPr>
        <w:pStyle w:val="Body"/>
        <w:jc w:val="both"/>
        <w:rPr>
          <w:rFonts w:ascii="Calibri" w:cs="Calibri" w:hAnsi="Calibri" w:eastAsia="Calibri"/>
          <w:i w:val="1"/>
          <w:iCs w:val="1"/>
          <w:sz w:val="24"/>
          <w:szCs w:val="24"/>
        </w:rPr>
      </w:pPr>
    </w:p>
    <w:p>
      <w:pPr>
        <w:pStyle w:val="Body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</w:rPr>
        <w:t>Og</w:t>
      </w:r>
      <w:r>
        <w:rPr>
          <w:rFonts w:ascii="Calibri" w:hAnsi="Calibri" w:hint="default"/>
          <w:sz w:val="26"/>
          <w:szCs w:val="26"/>
          <w:rtl w:val="0"/>
        </w:rPr>
        <w:t>ł</w:t>
      </w:r>
      <w:r>
        <w:rPr>
          <w:rFonts w:ascii="Calibri" w:hAnsi="Calibri"/>
          <w:sz w:val="26"/>
          <w:szCs w:val="26"/>
          <w:rtl w:val="0"/>
        </w:rPr>
        <w:t>oszenie przet</w:t>
      </w:r>
      <w:r>
        <w:rPr>
          <w:rFonts w:ascii="Calibri" w:hAnsi="Calibri" w:hint="default"/>
          <w:sz w:val="26"/>
          <w:szCs w:val="26"/>
          <w:rtl w:val="0"/>
        </w:rPr>
        <w:t>ł</w:t>
      </w:r>
      <w:r>
        <w:rPr>
          <w:rFonts w:ascii="Calibri" w:hAnsi="Calibri"/>
          <w:sz w:val="26"/>
          <w:szCs w:val="26"/>
          <w:rtl w:val="0"/>
        </w:rPr>
        <w:t>umaczy</w:t>
      </w:r>
      <w:r>
        <w:rPr>
          <w:rFonts w:ascii="Calibri" w:hAnsi="Calibri" w:hint="default"/>
          <w:sz w:val="26"/>
          <w:szCs w:val="26"/>
          <w:rtl w:val="0"/>
        </w:rPr>
        <w:t>ł</w:t>
      </w:r>
      <w:r>
        <w:rPr>
          <w:rFonts w:ascii="Calibri" w:hAnsi="Calibri"/>
          <w:sz w:val="26"/>
          <w:szCs w:val="26"/>
          <w:rtl w:val="0"/>
        </w:rPr>
        <w:t>a: Z.G.</w:t>
      </w:r>
    </w:p>
    <w:p>
      <w:pPr>
        <w:pStyle w:val="Body"/>
      </w:pPr>
      <w:r>
        <w:rPr>
          <w:sz w:val="26"/>
          <w:szCs w:val="26"/>
          <w:u w:val="single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