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Program stypendialny The Atlantic Fellows for Health Equity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Atlantic Fellows for Health Equity jest rocznym programem stypendialnym oferowanym przez Uniwersytet George’a Washington’a. Pierwszą grupę stypendystów reprezentowała klasa z 2017 roku.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Program The Atlantic Fellows for Health Equity jest stworzony by skupić wiele różnorodnych branż i zawodów mające wpływ na zdrowie i ogólne samopoczucie, w tym między innymi: sztukę, prawo, biznes, środowiska akademickie, rząd, dziennikarstwo, przedsiębiorstwa społeczne, dziedziny badań naukowych, media, gospodarkę mieszkaniową i świadczenia opieki zdrowotnej. Więcej informacji na temat programu można znaleźć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na stronie internetowej stypendium.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Stypendyści będą wybierani na podstawie wykazanego zaangażowania w zakresie równości zdrowotnej oraz posiadanych umiejętności przywódczych. Program będzie budował i wspierał grupę ogólnoświatowych, wielodziedzinowych liderów przygotowanych w zakresie umiejętności i wiedzy technicznej a także sieci kontaktów w celu zwiększenia równości w zakresie zdrowia w ich organizacjach i społecznościach. W ramach programu co roku wybieranych jest 10 stypendystów z USA i 10 stypendystów spoza USA.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Program ten będzie: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łączyć naukę tradycyjną ze zdalną w celu zdobycia kompleksowej wiedzy na temat narodowych i ogólnoświatowych nierówności w zakresie zdrowia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zwiększać poziom zdolności do radzenia sobie z nierównościami poprzez kontakt z ekspertami oraz na wizytach w programach i instytucjach które zapoczątkowały pozytywną zmianę w tej dziedzinie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zapewniać indywidualny program szkoleniowy w zakresie przywództwa, który kładzie nacisk na praktyczne podejście do wprowadzenia zmian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Do udziału w stypendium mogą zgłaszać się osoby, które spełniają poniższe wymagania: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Chcą stać się globalnymi liderami w zakresie wyeliminowania nierówności w dziedzinie zdrowia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Są na początku lub w środku swojej kariery zawodowej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Są obecnie zaangażowani w pracę związaną ze zdrowiem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Pełnią obecnie funkcje kierownicze lub mają potencjał do pełnienia tej funkcji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Cenią sobie rozmaite perspektywy rozwoju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Lubią pracować w grupach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Wybrani stypendyści będą musieli: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ciągu całego roku brać udział w 4 spotkaniach w formie stacjonarnej (czas trwania to 5 tygodni)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Uczestniczyć w zdalnym programie nauczania, które obejmuje: zajęcia online odbywane co dwa tygodnie, spersonalizowany coaching, mentoring równieśniczy</w:t>
      </w:r>
      <w:r w:rsidDel="00000000" w:rsidR="00000000" w:rsidRPr="00000000">
        <w:rPr>
          <w:i w:val="1"/>
          <w:rtl w:val="0"/>
        </w:rPr>
        <w:t xml:space="preserve"> (peer mentoring)</w:t>
      </w:r>
      <w:r w:rsidDel="00000000" w:rsidR="00000000" w:rsidRPr="00000000">
        <w:rPr>
          <w:rtl w:val="0"/>
        </w:rPr>
        <w:t xml:space="preserve"> i naukę w zespole (12-16 godzin miesięcznie)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Biegle posługiwać się językiem angielskim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Należy pamiętać, że wszystkie doświadczenia edukacyjne i koszty podróży związane z uczestnictwem w stypendium są pokrywane przez program.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Termin zakończenia składania podań: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 Maja, 2022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Wnioski należy składać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online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Informacje pochodzą ze strony: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https://atlanticinstitute.tfaforms.net/4821419</w:t>
        </w:r>
      </w:hyperlink>
      <w:r w:rsidDel="00000000" w:rsidR="00000000" w:rsidRPr="00000000">
        <w:rPr>
          <w:i w:val="1"/>
          <w:rtl w:val="0"/>
        </w:rPr>
        <w:t xml:space="preserve"> i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https://healthequity.atlanticfellows.org/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Ogłoszenie przetłumaczył/a: Monika Kozłowska</w:t>
      </w:r>
    </w:p>
    <w:p w:rsidR="00000000" w:rsidDel="00000000" w:rsidP="00000000" w:rsidRDefault="00000000" w:rsidRPr="00000000" w14:paraId="0000002A">
      <w:pPr>
        <w:spacing w:after="200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healthequity.atlanticfellows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healthequity.atlanticfellows.org/about-the-fellowship" TargetMode="External"/><Relationship Id="rId7" Type="http://schemas.openxmlformats.org/officeDocument/2006/relationships/hyperlink" Target="https://atlanticinstitute.tfaforms.net/4821419" TargetMode="External"/><Relationship Id="rId8" Type="http://schemas.openxmlformats.org/officeDocument/2006/relationships/hyperlink" Target="https://atlanticinstitute.tfaforms.net/48214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