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5A20" w14:textId="77777777" w:rsidR="005171F3" w:rsidRDefault="00814B9B">
      <w:pPr>
        <w:pStyle w:val="Standard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Staże w Parlamencie Europejskim</w:t>
      </w:r>
    </w:p>
    <w:p w14:paraId="1B626002" w14:textId="77777777" w:rsidR="005171F3" w:rsidRDefault="005171F3">
      <w:pPr>
        <w:pStyle w:val="Standard"/>
        <w:rPr>
          <w:rFonts w:ascii="Arial" w:hAnsi="Arial"/>
        </w:rPr>
      </w:pPr>
    </w:p>
    <w:p w14:paraId="2809F329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Staże im. Roberta Schumana są płatne i odbywają się w jednej z siedzib Parlamentu Europejskiego – w  Brukseli, Luksemburgu i Strasburgu – lub też we współpracujących instytucjach w pozostałych </w:t>
      </w:r>
      <w:r>
        <w:rPr>
          <w:rFonts w:ascii="Arial" w:hAnsi="Arial"/>
          <w:color w:val="666666"/>
          <w:sz w:val="21"/>
          <w:szCs w:val="21"/>
        </w:rPr>
        <w:t>państwach członkowskich.</w:t>
      </w:r>
    </w:p>
    <w:p w14:paraId="20C23BD8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567EA00A" w14:textId="22747B13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Prezentowany program stażowy został nazwany na cześć Roberta Schumana, jednego z głównych współtwórców projektu integracji europejskiej, który zapoczątkował ponad 70 lat pokoju i dobrobytu w Europie. Zaproponowana przez niego wspó</w:t>
      </w:r>
      <w:r>
        <w:rPr>
          <w:rFonts w:ascii="Arial" w:hAnsi="Arial"/>
          <w:color w:val="666666"/>
          <w:sz w:val="21"/>
          <w:szCs w:val="21"/>
        </w:rPr>
        <w:t>łpraca na rynku wydobycia węgla i stali między Francją a Niemcami stanowiła fundament dla powstania Europejskiej Wspó</w:t>
      </w:r>
      <w:r w:rsidR="009D57FB">
        <w:rPr>
          <w:rFonts w:ascii="Arial" w:hAnsi="Arial"/>
          <w:color w:val="666666"/>
          <w:sz w:val="21"/>
          <w:szCs w:val="21"/>
        </w:rPr>
        <w:t>l</w:t>
      </w:r>
      <w:r>
        <w:rPr>
          <w:rFonts w:ascii="Arial" w:hAnsi="Arial"/>
          <w:color w:val="666666"/>
          <w:sz w:val="21"/>
          <w:szCs w:val="21"/>
        </w:rPr>
        <w:t>noty Węgla i Stali, pierwszej ze Wspólnot Europejskich, które z czasem przekształciły się w Unię Europejską.</w:t>
      </w:r>
    </w:p>
    <w:p w14:paraId="52CE7FEA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570E1D81" w14:textId="77777777" w:rsidR="005171F3" w:rsidRDefault="00814B9B">
      <w:pPr>
        <w:pStyle w:val="Standard"/>
        <w:rPr>
          <w:rFonts w:ascii="Arial" w:hAnsi="Arial"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Dlaczego warto aplikować?</w:t>
      </w:r>
    </w:p>
    <w:p w14:paraId="538ED479" w14:textId="77777777" w:rsidR="005171F3" w:rsidRDefault="005171F3">
      <w:pPr>
        <w:pStyle w:val="Standard"/>
        <w:rPr>
          <w:rFonts w:ascii="Arial" w:hAnsi="Arial"/>
        </w:rPr>
      </w:pPr>
    </w:p>
    <w:p w14:paraId="297A1467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S</w:t>
      </w:r>
      <w:r>
        <w:rPr>
          <w:rFonts w:ascii="Arial" w:hAnsi="Arial"/>
          <w:color w:val="666666"/>
          <w:sz w:val="21"/>
          <w:szCs w:val="21"/>
        </w:rPr>
        <w:t>taż im. Roberta Schumana zwiększy Twoje umiejętności i wzbogaci doświadczenie zawodowe. Zapewni Ci wgląd w metody pracy organów Unii Europejskiej oraz Parlamentu Europejskiego, najważniejszego forum, gdzie prowadzone są debaty oraz podejmowane decyzje na n</w:t>
      </w:r>
      <w:r>
        <w:rPr>
          <w:rFonts w:ascii="Arial" w:hAnsi="Arial"/>
          <w:color w:val="666666"/>
          <w:sz w:val="21"/>
          <w:szCs w:val="21"/>
        </w:rPr>
        <w:t>ajwyższym międzynarodowym szczeblu.</w:t>
      </w:r>
    </w:p>
    <w:p w14:paraId="4B6D8337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434FBFFA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Nasz program stażowy ma bardzo szeroką ofertę i umożliwia zdobycie doświadczenia zawodowego w wielu jednostkach i dziedzinach – polityki wewnętrznej i zagranicznej Unii Europejskiej, w zakresie wielojęzyczności, w wydz</w:t>
      </w:r>
      <w:r>
        <w:rPr>
          <w:rFonts w:ascii="Arial" w:hAnsi="Arial"/>
          <w:color w:val="666666"/>
          <w:sz w:val="21"/>
          <w:szCs w:val="21"/>
        </w:rPr>
        <w:t>iale finansowym, w sekcji prawnej, w administracji, w departamentach infrastruktury i logistyki, komunikacji czy też w dziale IT.</w:t>
      </w:r>
    </w:p>
    <w:p w14:paraId="6584C258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312092B8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Parlament Europejski oferuje równe szanse zatrudnienia i zachęca do aplikowania wszystkich kandydatów, bez względu na ich płe</w:t>
      </w:r>
      <w:r>
        <w:rPr>
          <w:rFonts w:ascii="Arial" w:hAnsi="Arial"/>
          <w:color w:val="666666"/>
          <w:sz w:val="21"/>
          <w:szCs w:val="21"/>
        </w:rPr>
        <w:t>ć, orientację seksualną, pochodzenie, tożsamość kulturową, wyznanie czy też niepełnosprawność, zapewniając odpowiednie udogodnienia dla osób o zwiększonych potrzebach i o ograniczonej mobilności.</w:t>
      </w:r>
    </w:p>
    <w:p w14:paraId="49A97423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04D92DA6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Jako część działań Parlamentu dla uhonorowania dziennikarzy</w:t>
      </w:r>
      <w:r>
        <w:rPr>
          <w:rFonts w:ascii="Arial" w:hAnsi="Arial"/>
          <w:color w:val="666666"/>
          <w:sz w:val="21"/>
          <w:szCs w:val="21"/>
        </w:rPr>
        <w:t xml:space="preserve"> zabitych podczas wykonywania swojej pracy, Dyrekcja Generalna ds. Komunikacji oferuje także program staży stworzony ku pamięci </w:t>
      </w:r>
      <w:proofErr w:type="spellStart"/>
      <w:r>
        <w:rPr>
          <w:rFonts w:ascii="Arial" w:hAnsi="Arial"/>
          <w:color w:val="505154"/>
          <w:sz w:val="21"/>
          <w:szCs w:val="21"/>
        </w:rPr>
        <w:t>Ján</w:t>
      </w:r>
      <w:proofErr w:type="spellEnd"/>
      <w:r>
        <w:rPr>
          <w:rFonts w:ascii="Arial" w:hAnsi="Arial"/>
          <w:color w:val="505154"/>
          <w:sz w:val="21"/>
          <w:szCs w:val="21"/>
          <w:lang w:val="sk-SK"/>
        </w:rPr>
        <w:t>a</w:t>
      </w:r>
      <w:r>
        <w:rPr>
          <w:rFonts w:ascii="Arial" w:hAnsi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666666"/>
          <w:sz w:val="21"/>
          <w:szCs w:val="21"/>
        </w:rPr>
        <w:t>Kuciaka</w:t>
      </w:r>
      <w:proofErr w:type="spellEnd"/>
      <w:r>
        <w:rPr>
          <w:rFonts w:ascii="Arial" w:hAnsi="Arial"/>
          <w:color w:val="666666"/>
          <w:sz w:val="21"/>
          <w:szCs w:val="21"/>
        </w:rPr>
        <w:t>, słowackiego dziennikarza śledczego zamordowanego w lutym 2018 roku.</w:t>
      </w:r>
    </w:p>
    <w:p w14:paraId="1AB8DEFF" w14:textId="77777777" w:rsidR="005171F3" w:rsidRDefault="005171F3">
      <w:pPr>
        <w:pStyle w:val="Standard"/>
        <w:rPr>
          <w:rFonts w:ascii="Arial" w:hAnsi="Arial"/>
          <w:color w:val="666666"/>
        </w:rPr>
      </w:pPr>
    </w:p>
    <w:p w14:paraId="414F9E20" w14:textId="77777777" w:rsidR="005171F3" w:rsidRDefault="00814B9B">
      <w:pPr>
        <w:pStyle w:val="Standard"/>
        <w:rPr>
          <w:rFonts w:ascii="Arial" w:hAnsi="Arial"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Czego oczekujemy?</w:t>
      </w:r>
    </w:p>
    <w:p w14:paraId="26720206" w14:textId="77777777" w:rsidR="005171F3" w:rsidRDefault="005171F3">
      <w:pPr>
        <w:pStyle w:val="Standard"/>
        <w:rPr>
          <w:rFonts w:ascii="Arial" w:hAnsi="Arial"/>
        </w:rPr>
      </w:pPr>
    </w:p>
    <w:p w14:paraId="7EC47632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Udział w </w:t>
      </w:r>
      <w:r>
        <w:rPr>
          <w:rFonts w:ascii="Arial" w:hAnsi="Arial"/>
          <w:color w:val="666666"/>
          <w:sz w:val="21"/>
          <w:szCs w:val="21"/>
        </w:rPr>
        <w:t>rekrutacji mogą brać osoby, które:</w:t>
      </w:r>
    </w:p>
    <w:p w14:paraId="51F74A15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16E1F374" w14:textId="77777777" w:rsidR="005171F3" w:rsidRDefault="00814B9B">
      <w:pPr>
        <w:pStyle w:val="Standard"/>
        <w:numPr>
          <w:ilvl w:val="0"/>
          <w:numId w:val="1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ukończyły 18 lat;</w:t>
      </w:r>
    </w:p>
    <w:p w14:paraId="75456B39" w14:textId="77777777" w:rsidR="005171F3" w:rsidRDefault="00814B9B">
      <w:pPr>
        <w:pStyle w:val="Standard"/>
        <w:numPr>
          <w:ilvl w:val="0"/>
          <w:numId w:val="1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są obywatelami państw członkowskich bądź też jednego z państw wstępujących lub kandydujących do Unii Europejskiej ( o niewielką liczbę miejsc stażowych mogą ubiegać się także kandydaci spoza ww. krajów)</w:t>
      </w:r>
      <w:r>
        <w:rPr>
          <w:rFonts w:ascii="Arial" w:hAnsi="Arial"/>
          <w:color w:val="666666"/>
          <w:sz w:val="21"/>
          <w:szCs w:val="21"/>
        </w:rPr>
        <w:t>;</w:t>
      </w:r>
    </w:p>
    <w:p w14:paraId="032F71DB" w14:textId="77777777" w:rsidR="005171F3" w:rsidRDefault="00814B9B">
      <w:pPr>
        <w:pStyle w:val="Standard"/>
        <w:numPr>
          <w:ilvl w:val="0"/>
          <w:numId w:val="1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posiadają dyplom ukończenia uczelni wyższej;</w:t>
      </w:r>
    </w:p>
    <w:p w14:paraId="4E2F93AF" w14:textId="0140FBB6" w:rsidR="005171F3" w:rsidRDefault="00814B9B">
      <w:pPr>
        <w:pStyle w:val="Standard"/>
        <w:numPr>
          <w:ilvl w:val="0"/>
          <w:numId w:val="1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posługują się biegle przynajmniej dwoma z oficjalnych języków Unii Europejskiej – w tym jednym na poziomie zaawansowanym (warunkiem koniecznym do udziału w rekrutacji dla kandydatów spoza państw członkowskich </w:t>
      </w:r>
      <w:r>
        <w:rPr>
          <w:rFonts w:ascii="Arial" w:hAnsi="Arial"/>
          <w:color w:val="666666"/>
          <w:sz w:val="21"/>
          <w:szCs w:val="21"/>
        </w:rPr>
        <w:t>UE jest bardzo dobra znajomość jednego z wybran</w:t>
      </w:r>
      <w:r w:rsidR="009D57FB">
        <w:rPr>
          <w:rFonts w:ascii="Arial" w:hAnsi="Arial"/>
          <w:color w:val="666666"/>
          <w:sz w:val="21"/>
          <w:szCs w:val="21"/>
        </w:rPr>
        <w:t>y</w:t>
      </w:r>
      <w:r>
        <w:rPr>
          <w:rFonts w:ascii="Arial" w:hAnsi="Arial"/>
          <w:color w:val="666666"/>
          <w:sz w:val="21"/>
          <w:szCs w:val="21"/>
        </w:rPr>
        <w:t>ch języków: angielskiego, francuskiego lub niemieckiego);</w:t>
      </w:r>
    </w:p>
    <w:p w14:paraId="1241721A" w14:textId="77777777" w:rsidR="005171F3" w:rsidRDefault="00814B9B">
      <w:pPr>
        <w:pStyle w:val="Standard"/>
        <w:numPr>
          <w:ilvl w:val="0"/>
          <w:numId w:val="1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dostarczą zaświadczenie o niekaralności;</w:t>
      </w:r>
    </w:p>
    <w:p w14:paraId="73C30B89" w14:textId="77777777" w:rsidR="005171F3" w:rsidRDefault="00814B9B">
      <w:pPr>
        <w:pStyle w:val="Standard"/>
        <w:numPr>
          <w:ilvl w:val="0"/>
          <w:numId w:val="1"/>
        </w:numPr>
      </w:pPr>
      <w:r>
        <w:rPr>
          <w:rFonts w:ascii="Arial" w:hAnsi="Arial"/>
          <w:color w:val="666666"/>
          <w:sz w:val="21"/>
          <w:szCs w:val="21"/>
        </w:rPr>
        <w:t xml:space="preserve">nie pracowali ani nie korzystali z żadnego rodzaju praktyk bądź staży przez okres dłuższy niż dwa </w:t>
      </w:r>
      <w:r>
        <w:rPr>
          <w:rFonts w:ascii="Arial" w:hAnsi="Arial"/>
          <w:color w:val="666666"/>
          <w:sz w:val="21"/>
          <w:szCs w:val="21"/>
        </w:rPr>
        <w:t xml:space="preserve">miesiące w żadnej z </w:t>
      </w:r>
      <w:hyperlink r:id="rId7" w:history="1">
        <w:r>
          <w:t>instytucji, organów lub agencji należących do Unii Europejskiej</w:t>
        </w:r>
      </w:hyperlink>
      <w:r>
        <w:rPr>
          <w:rFonts w:ascii="Arial" w:hAnsi="Arial"/>
          <w:color w:val="666666"/>
          <w:sz w:val="21"/>
          <w:szCs w:val="21"/>
        </w:rPr>
        <w:t>;</w:t>
      </w:r>
    </w:p>
    <w:p w14:paraId="1C9E7A89" w14:textId="77777777" w:rsidR="005171F3" w:rsidRDefault="00814B9B">
      <w:pPr>
        <w:pStyle w:val="Standard"/>
        <w:numPr>
          <w:ilvl w:val="0"/>
          <w:numId w:val="1"/>
        </w:numPr>
      </w:pPr>
      <w:r>
        <w:rPr>
          <w:rFonts w:ascii="Arial" w:hAnsi="Arial"/>
          <w:color w:val="666666"/>
          <w:sz w:val="21"/>
          <w:szCs w:val="21"/>
        </w:rPr>
        <w:t xml:space="preserve">nie odbyli żadnej </w:t>
      </w:r>
      <w:hyperlink r:id="rId8" w:history="1">
        <w:r>
          <w:t>wizyty studyjnej</w:t>
        </w:r>
      </w:hyperlink>
      <w:r>
        <w:rPr>
          <w:rFonts w:ascii="Arial" w:hAnsi="Arial"/>
          <w:color w:val="666666"/>
          <w:sz w:val="21"/>
          <w:szCs w:val="21"/>
        </w:rPr>
        <w:t xml:space="preserve"> w Sekretariacie Generalnym Parlamentu Europejskiego w przeciągu sześciu miesięcy przed rozpoczęciem stażu.</w:t>
      </w:r>
    </w:p>
    <w:p w14:paraId="06CFA5AD" w14:textId="77777777" w:rsidR="005171F3" w:rsidRDefault="005171F3">
      <w:pPr>
        <w:pStyle w:val="Standard"/>
        <w:rPr>
          <w:rFonts w:ascii="Arial" w:hAnsi="Arial"/>
          <w:b/>
          <w:bCs/>
          <w:sz w:val="27"/>
          <w:szCs w:val="27"/>
        </w:rPr>
      </w:pPr>
    </w:p>
    <w:p w14:paraId="67139165" w14:textId="77777777" w:rsidR="005171F3" w:rsidRDefault="00814B9B">
      <w:pPr>
        <w:pStyle w:val="Standard"/>
        <w:rPr>
          <w:rFonts w:ascii="Arial" w:hAnsi="Arial"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Jak wziąć udział w rekrutacji?</w:t>
      </w:r>
    </w:p>
    <w:p w14:paraId="74BDCEB1" w14:textId="77777777" w:rsidR="005171F3" w:rsidRDefault="005171F3">
      <w:pPr>
        <w:pStyle w:val="Standard"/>
        <w:rPr>
          <w:rFonts w:ascii="Arial" w:hAnsi="Arial"/>
        </w:rPr>
      </w:pPr>
    </w:p>
    <w:p w14:paraId="30AF57EF" w14:textId="77777777" w:rsidR="005171F3" w:rsidRDefault="00814B9B">
      <w:pPr>
        <w:pStyle w:val="Standard"/>
      </w:pPr>
      <w:r>
        <w:rPr>
          <w:rFonts w:ascii="Arial" w:hAnsi="Arial"/>
          <w:color w:val="666666"/>
          <w:sz w:val="21"/>
          <w:szCs w:val="21"/>
        </w:rPr>
        <w:t xml:space="preserve">W celu wysłania zgłoszenia należy wejść na  </w:t>
      </w:r>
      <w:hyperlink r:id="rId9" w:history="1">
        <w:r>
          <w:t>stronę internetową dla kandydatów</w:t>
        </w:r>
      </w:hyperlink>
      <w:r>
        <w:rPr>
          <w:rFonts w:ascii="Arial" w:hAnsi="Arial"/>
          <w:color w:val="666666"/>
          <w:sz w:val="21"/>
          <w:szCs w:val="21"/>
        </w:rPr>
        <w:t xml:space="preserve"> oraz:</w:t>
      </w:r>
    </w:p>
    <w:p w14:paraId="51CD3A93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494CEF92" w14:textId="77777777" w:rsidR="005171F3" w:rsidRDefault="00814B9B">
      <w:pPr>
        <w:pStyle w:val="Standard"/>
        <w:numPr>
          <w:ilvl w:val="0"/>
          <w:numId w:val="2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zaznaczyć odpowiednie oraz aplikować na maksymalnie trzy programy stażowe;</w:t>
      </w:r>
    </w:p>
    <w:p w14:paraId="278F8989" w14:textId="77777777" w:rsidR="005171F3" w:rsidRDefault="00814B9B">
      <w:pPr>
        <w:pStyle w:val="Standard"/>
        <w:numPr>
          <w:ilvl w:val="0"/>
          <w:numId w:val="2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wyselekcjonowane osoby w drugim etapie rekrutacji zostaną poproszone o dosłanie pozostałych dok</w:t>
      </w:r>
      <w:r>
        <w:rPr>
          <w:rFonts w:ascii="Arial" w:hAnsi="Arial"/>
          <w:color w:val="666666"/>
          <w:sz w:val="21"/>
          <w:szCs w:val="21"/>
        </w:rPr>
        <w:t>umentów potwierdzających ich kwalifikacje zawodowe;</w:t>
      </w:r>
    </w:p>
    <w:p w14:paraId="489C09E9" w14:textId="77777777" w:rsidR="005171F3" w:rsidRDefault="00814B9B">
      <w:pPr>
        <w:pStyle w:val="Standard"/>
        <w:numPr>
          <w:ilvl w:val="0"/>
          <w:numId w:val="2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osoby przyjęte na poszczególne stanowiska otrzymają oficjalne zawiadomienia drogą mailową.</w:t>
      </w:r>
    </w:p>
    <w:p w14:paraId="253511E1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7FFB9D3B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Staże im. Roberta Schumana trwają </w:t>
      </w:r>
      <w:r>
        <w:rPr>
          <w:rFonts w:ascii="Arial" w:hAnsi="Arial"/>
          <w:b/>
          <w:bCs/>
          <w:color w:val="666666"/>
          <w:sz w:val="21"/>
          <w:szCs w:val="21"/>
        </w:rPr>
        <w:t>pięć miesięcy</w:t>
      </w:r>
      <w:r>
        <w:rPr>
          <w:rFonts w:ascii="Arial" w:hAnsi="Arial"/>
          <w:color w:val="666666"/>
          <w:sz w:val="21"/>
          <w:szCs w:val="21"/>
        </w:rPr>
        <w:t>:</w:t>
      </w:r>
    </w:p>
    <w:p w14:paraId="72CBDEFC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123661CF" w14:textId="77777777" w:rsidR="005171F3" w:rsidRDefault="00814B9B">
      <w:pPr>
        <w:pStyle w:val="Standard"/>
        <w:numPr>
          <w:ilvl w:val="0"/>
          <w:numId w:val="3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od 1 października do 28/29 lutego</w:t>
      </w:r>
    </w:p>
    <w:p w14:paraId="4B530A34" w14:textId="77777777" w:rsidR="005171F3" w:rsidRDefault="00814B9B">
      <w:pPr>
        <w:pStyle w:val="Standard"/>
        <w:numPr>
          <w:ilvl w:val="1"/>
          <w:numId w:val="3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rekrutacja w terminie od 1 d</w:t>
      </w:r>
      <w:r>
        <w:rPr>
          <w:rFonts w:ascii="Arial" w:hAnsi="Arial"/>
          <w:color w:val="666666"/>
          <w:sz w:val="21"/>
          <w:szCs w:val="21"/>
        </w:rPr>
        <w:t>o 30 czerwca</w:t>
      </w:r>
    </w:p>
    <w:p w14:paraId="4BBB5C15" w14:textId="77777777" w:rsidR="005171F3" w:rsidRDefault="00814B9B">
      <w:pPr>
        <w:pStyle w:val="Standard"/>
        <w:numPr>
          <w:ilvl w:val="0"/>
          <w:numId w:val="3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oraz od 1 marca do 31 lipca</w:t>
      </w:r>
    </w:p>
    <w:p w14:paraId="6DC880BF" w14:textId="77777777" w:rsidR="005171F3" w:rsidRDefault="00814B9B">
      <w:pPr>
        <w:pStyle w:val="Standard"/>
        <w:numPr>
          <w:ilvl w:val="1"/>
          <w:numId w:val="3"/>
        </w:numPr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rekrutacja w terminie od 1 do 30 listopada.</w:t>
      </w:r>
    </w:p>
    <w:p w14:paraId="4000078A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5C2DFF30" w14:textId="77777777" w:rsidR="005171F3" w:rsidRDefault="005171F3">
      <w:pPr>
        <w:pStyle w:val="Standard"/>
        <w:rPr>
          <w:rFonts w:ascii="Arial" w:hAnsi="Arial"/>
          <w:color w:val="666666"/>
          <w:sz w:val="21"/>
          <w:szCs w:val="21"/>
        </w:rPr>
      </w:pPr>
    </w:p>
    <w:p w14:paraId="6BA3CE45" w14:textId="77777777" w:rsidR="005171F3" w:rsidRDefault="00814B9B">
      <w:pPr>
        <w:pStyle w:val="Standard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Zgłoszenia nieterminowe oraz niespełniające podanych wymagań </w:t>
      </w:r>
      <w:r>
        <w:rPr>
          <w:rFonts w:ascii="Arial" w:hAnsi="Arial"/>
          <w:b/>
          <w:bCs/>
          <w:color w:val="666666"/>
          <w:sz w:val="21"/>
          <w:szCs w:val="21"/>
        </w:rPr>
        <w:t>nie będą</w:t>
      </w:r>
      <w:r>
        <w:rPr>
          <w:rFonts w:ascii="Arial" w:hAnsi="Arial"/>
          <w:color w:val="666666"/>
          <w:sz w:val="21"/>
          <w:szCs w:val="21"/>
        </w:rPr>
        <w:t xml:space="preserve"> rozpatrywane.</w:t>
      </w:r>
    </w:p>
    <w:p w14:paraId="062D143F" w14:textId="77777777" w:rsidR="005171F3" w:rsidRDefault="005171F3">
      <w:pPr>
        <w:pStyle w:val="Standard"/>
        <w:rPr>
          <w:color w:val="666666"/>
          <w:sz w:val="21"/>
          <w:szCs w:val="21"/>
        </w:rPr>
      </w:pPr>
    </w:p>
    <w:p w14:paraId="0A6E6D03" w14:textId="77777777" w:rsidR="005171F3" w:rsidRDefault="00814B9B">
      <w:pPr>
        <w:pStyle w:val="Standard"/>
        <w:rPr>
          <w:i/>
          <w:iCs/>
        </w:rPr>
      </w:pPr>
      <w:r>
        <w:rPr>
          <w:i/>
          <w:iCs/>
          <w:color w:val="666666"/>
          <w:sz w:val="20"/>
          <w:szCs w:val="20"/>
        </w:rPr>
        <w:t>Informacje pochodzą ze strony:</w:t>
      </w:r>
      <w:r>
        <w:rPr>
          <w:i/>
          <w:iCs/>
          <w:sz w:val="20"/>
          <w:szCs w:val="20"/>
        </w:rPr>
        <w:t xml:space="preserve"> </w:t>
      </w:r>
      <w:hyperlink r:id="rId10" w:history="1">
        <w:r>
          <w:rPr>
            <w:i/>
            <w:iCs/>
            <w:color w:val="1155CC"/>
            <w:sz w:val="20"/>
            <w:szCs w:val="20"/>
            <w:u w:val="single"/>
          </w:rPr>
          <w:t>https://www.europarl.europa.eu/at-your-service/en/work-with-us/traineeships</w:t>
        </w:r>
      </w:hyperlink>
    </w:p>
    <w:p w14:paraId="4958C170" w14:textId="77777777" w:rsidR="005171F3" w:rsidRDefault="005171F3">
      <w:pPr>
        <w:pStyle w:val="Standard"/>
        <w:rPr>
          <w:sz w:val="20"/>
          <w:szCs w:val="20"/>
        </w:rPr>
      </w:pPr>
    </w:p>
    <w:p w14:paraId="6D01CC1D" w14:textId="77777777" w:rsidR="005171F3" w:rsidRDefault="00814B9B">
      <w:pPr>
        <w:pStyle w:val="Standard"/>
      </w:pPr>
      <w:r>
        <w:t xml:space="preserve"> </w:t>
      </w:r>
    </w:p>
    <w:sectPr w:rsidR="005171F3">
      <w:pgSz w:w="11906" w:h="16838"/>
      <w:pgMar w:top="1440" w:right="1440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38173" w14:textId="77777777" w:rsidR="00814B9B" w:rsidRDefault="00814B9B">
      <w:r>
        <w:separator/>
      </w:r>
    </w:p>
  </w:endnote>
  <w:endnote w:type="continuationSeparator" w:id="0">
    <w:p w14:paraId="61D560DE" w14:textId="77777777" w:rsidR="00814B9B" w:rsidRDefault="0081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9450" w14:textId="77777777" w:rsidR="00814B9B" w:rsidRDefault="00814B9B">
      <w:r>
        <w:rPr>
          <w:color w:val="000000"/>
        </w:rPr>
        <w:separator/>
      </w:r>
    </w:p>
  </w:footnote>
  <w:footnote w:type="continuationSeparator" w:id="0">
    <w:p w14:paraId="00CE0881" w14:textId="77777777" w:rsidR="00814B9B" w:rsidRDefault="0081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8F6"/>
    <w:multiLevelType w:val="multilevel"/>
    <w:tmpl w:val="E97CE7A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4EC371F"/>
    <w:multiLevelType w:val="multilevel"/>
    <w:tmpl w:val="B454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385A8C"/>
    <w:multiLevelType w:val="multilevel"/>
    <w:tmpl w:val="E54AFF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71F3"/>
    <w:rsid w:val="005171F3"/>
    <w:rsid w:val="00814B9B"/>
    <w:rsid w:val="009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2EA"/>
  <w15:docId w15:val="{732E32ED-3114-4686-8F08-2FE5415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at-your-service/en/work-with-us/study-vis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contact/institutions-bodie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uroparl.europa.eu/at-your-service/en/work-with-us/trainee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-stages.gestmax.eu/website/application-informat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Pilkiewicz</dc:creator>
  <cp:lastModifiedBy>asus</cp:lastModifiedBy>
  <cp:revision>2</cp:revision>
  <dcterms:created xsi:type="dcterms:W3CDTF">2020-07-29T18:59:00Z</dcterms:created>
  <dcterms:modified xsi:type="dcterms:W3CDTF">2020-07-29T18:59:00Z</dcterms:modified>
</cp:coreProperties>
</file>