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b w:val="1"/>
          <w:color w:val="242f60"/>
          <w:sz w:val="36"/>
          <w:szCs w:val="36"/>
          <w:rtl w:val="0"/>
        </w:rPr>
        <w:t xml:space="preserve">Stypendia </w:t>
      </w:r>
      <w:r w:rsidDel="00000000" w:rsidR="00000000" w:rsidRPr="00000000">
        <w:rPr>
          <w:b w:val="1"/>
          <w:color w:val="242f60"/>
          <w:sz w:val="36"/>
          <w:szCs w:val="36"/>
          <w:rtl w:val="0"/>
        </w:rPr>
        <w:t xml:space="preserve">WomenIn dla kobiet posiadających karierę w branży gier wideo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Rule="auto"/>
        <w:rPr>
          <w:color w:val="282828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Osoby ubiegające się o stypendium WomenIn muszą identyfikować się jako kobiety, które zamierzają posiadać karierę w dowolnej dziedzinie związanej z grami wideo, w tym: sztuce, animacji, programowaniu, inżynierii, kierowaniu grami, projektowaniu gier, projektowaniu dźwięku, prawie, marketingu i zarządzaniu.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Rule="auto"/>
        <w:rPr>
          <w:b w:val="1"/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b w:val="1"/>
          <w:color w:val="222222"/>
          <w:sz w:val="21"/>
          <w:szCs w:val="21"/>
          <w:shd w:fill="f8f9fa" w:val="clear"/>
          <w:rtl w:val="0"/>
        </w:rPr>
        <w:t xml:space="preserve">Kwalifikowalność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Trzeba być studentem stacjonarnym lub doktorantem uczęszczającym do akredytowanej uczelni w roku akademickim 2020–21.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Trzeba mieć ukończone co najmniej 21 lat do 14 lutego 2021 r.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Specjalizacja: dowolne pole.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GPA: minimum 3,3 w skali 4.0.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Kandydaci nie muszą być obywatelami USA ani stałymi rezydentami, aby złożyć wniosek.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Instytucje akademickie muszą posiadać akredytację standardowej i zwyczajowej instytucji akredytującej uczelnię (uczelnie) w kraju (krajach), w których prowadzą działalność. W przypadku jakichkolwiek pytań dotyczących akredytacji jakiejkolwiek instytucji akademickiej, Fundacja zastrzega sobie wyłączne prawo do ustalenia, według własnego uznania, czy studenci z tej instytucji będą uprawnieni do stypendiów Fundacji.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0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Poprzedni stypendysta nie może ubiegać się o stypendium.</w:t>
      </w:r>
    </w:p>
    <w:p w:rsidR="00000000" w:rsidDel="00000000" w:rsidP="00000000" w:rsidRDefault="00000000" w:rsidRPr="00000000" w14:paraId="0000000E">
      <w:pPr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0" w:lineRule="auto"/>
        <w:rPr>
          <w:color w:val="0000ff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Aby ukończyć tę aplikację, należy przesłać: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Dwustronne (maksymalnie) osobiste oświadczenie, zawierające:</w:t>
      </w:r>
    </w:p>
    <w:p w:rsidR="00000000" w:rsidDel="00000000" w:rsidP="00000000" w:rsidRDefault="00000000" w:rsidRPr="00000000" w14:paraId="00000012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• Informacje o swojej uczelni i korzyściach z Twojej pracy w branży gier</w:t>
      </w:r>
    </w:p>
    <w:p w:rsidR="00000000" w:rsidDel="00000000" w:rsidP="00000000" w:rsidRDefault="00000000" w:rsidRPr="00000000" w14:paraId="00000013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• Oświadczenie odnoszące się do twoich usług, przywództwa, charakteru i potrzeb finansowych.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before="0" w:lineRule="auto"/>
        <w:ind w:left="720" w:hanging="360"/>
        <w:rPr>
          <w:color w:val="222222"/>
          <w:sz w:val="21"/>
          <w:szCs w:val="21"/>
          <w:u w:val="none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Dwa aktualne, podpisane listy polecające:</w:t>
      </w:r>
    </w:p>
    <w:p w:rsidR="00000000" w:rsidDel="00000000" w:rsidP="00000000" w:rsidRDefault="00000000" w:rsidRPr="00000000" w14:paraId="00000015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• Listy polecające muszą pochodzić od współpracowników lub profesorów z bieżącego programu akademickiego, administracji i / lub profesorów, którzy znają cię osobiście.</w:t>
      </w:r>
    </w:p>
    <w:p w:rsidR="00000000" w:rsidDel="00000000" w:rsidP="00000000" w:rsidRDefault="00000000" w:rsidRPr="00000000" w14:paraId="00000016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• Listy rekomendacji muszą odnosić się do twojego potencjału do wniesienia znaczącego wkładu w przemysł gier dzięki Twojemu charakterowi, usługom lub zdolnościom przywódczym.</w:t>
      </w:r>
    </w:p>
    <w:p w:rsidR="00000000" w:rsidDel="00000000" w:rsidP="00000000" w:rsidRDefault="00000000" w:rsidRPr="00000000" w14:paraId="00000017">
      <w:pPr>
        <w:spacing w:after="200" w:before="0" w:lineRule="auto"/>
        <w:rPr>
          <w:color w:val="222222"/>
          <w:sz w:val="21"/>
          <w:szCs w:val="21"/>
          <w:shd w:fill="f8f9fa" w:val="clear"/>
        </w:rPr>
      </w:pPr>
      <w:r w:rsidDel="00000000" w:rsidR="00000000" w:rsidRPr="00000000">
        <w:rPr>
          <w:color w:val="222222"/>
          <w:sz w:val="21"/>
          <w:szCs w:val="21"/>
          <w:shd w:fill="f8f9fa" w:val="clear"/>
          <w:rtl w:val="0"/>
        </w:rPr>
        <w:t xml:space="preserve">Zdobywcy stypendiów otrzymają po $2500. Wszyscy stypendyści biorą udział w rocznym programie mentorskim i są uprawnieni do uczestnictwa w profesjonalnym szkoleniu i tworzeniu sieci kontaktów w 2021 D.I.C.E. Summitt i 24. D.I.C.E. Ceremonii Wręczenia Nagród.</w:t>
      </w:r>
    </w:p>
    <w:p w:rsidR="00000000" w:rsidDel="00000000" w:rsidP="00000000" w:rsidRDefault="00000000" w:rsidRPr="00000000" w14:paraId="00000018">
      <w:pPr>
        <w:spacing w:after="200" w:before="0" w:lineRule="auto"/>
        <w:rPr>
          <w:sz w:val="21"/>
          <w:szCs w:val="21"/>
        </w:rPr>
      </w:pPr>
      <w:r w:rsidDel="00000000" w:rsidR="00000000" w:rsidRPr="00000000">
        <w:rPr>
          <w:b w:val="1"/>
          <w:color w:val="222222"/>
          <w:sz w:val="21"/>
          <w:szCs w:val="21"/>
          <w:shd w:fill="f8f9fa" w:val="clear"/>
          <w:rtl w:val="0"/>
        </w:rPr>
        <w:t xml:space="preserve">Wnioski należy składać do 31 maja 2020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0" w:lineRule="auto"/>
        <w:rPr>
          <w:i w:val="1"/>
          <w:sz w:val="21"/>
          <w:szCs w:val="21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Informacje pochodzą ze strony: </w:t>
      </w:r>
      <w:hyperlink r:id="rId6">
        <w:r w:rsidDel="00000000" w:rsidR="00000000" w:rsidRPr="00000000">
          <w:rPr>
            <w:i w:val="1"/>
            <w:color w:val="1155cc"/>
            <w:sz w:val="21"/>
            <w:szCs w:val="21"/>
            <w:highlight w:val="white"/>
            <w:u w:val="single"/>
            <w:rtl w:val="0"/>
          </w:rPr>
          <w:t xml:space="preserve">https://www.aiasfoundation.org/programs/scholarships.asp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aiasfoundation.org/programs/scholarship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