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before="0" w:lineRule="auto"/>
        <w:rPr/>
      </w:pPr>
      <w:r w:rsidDel="00000000" w:rsidR="00000000" w:rsidRPr="00000000">
        <w:rPr>
          <w:rtl w:val="0"/>
        </w:rPr>
        <w:t xml:space="preserve">TaiwanICDF International Higher Education Scholarship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Tajwański ICDF (Międzynarodowy Fundusz Współpracy i Rozwoju) zapewnia stypendia dla szkolnictwa wyższego i opracował programy studiów licencjackich, magisterskich i doktoranckich we współpracy z renomowanymi partnerskimi uniwersytetami na Tajwanie. W 2020 roku jest 31 programów, które umożliwiają aplikację w ramach TaiwanICDF Stypendium.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Osoba aplikująca musi być obywatelem kraju wyróżnionego na liście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Lista Krajów Mogących Aplikować na Tajwański Program Stypendialny</w:t>
        </w:r>
      </w:hyperlink>
      <w:r w:rsidDel="00000000" w:rsidR="00000000" w:rsidRPr="00000000">
        <w:rPr>
          <w:rtl w:val="0"/>
        </w:rPr>
        <w:t xml:space="preserve"> oraz spełniać wszystkie kryteria ustalone przez kraj lub rząd jego obywatelstwa. Kandydat musi spełnić wszystkie wymagania ustalone przez uniwersytet partnerski, gdzie aplikuje o stypendium TijwanICDF, a także spełnić wszystkie wymagania dotyczące wizy rezydenta.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Kandydat nie może posiadać żadnego innego stypendium sponsorowanego przez rząd tajwański w tym samym roku akademickim. Wnioskodawcy nigdy nie powinni również odwoływać stypendium przez agencję rządową ROC lub powiązaną instytucję, ani też zostać wydaleni z uniwersytetu na Tajwanie.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Studenci studiów licencjackich otrzymują 400 dolarów miesięcznie, studenci studiów magisterskich 500 dolarów miesięcznie, a studenci studiów doktoranckich 565 dolarów miesięcznie, jako dodatek na  żywienie oraz różne wydatki związane z utrzymaniem. Jest to wpłacane na konto w lokalnym banku co miesiąc. Studentom studiów doktoranckich instytucja goszcząca może zaproponować wypłacanie tej kwoty na kursy trwające dłużej niż 4 lata; czas trwania i kwota zostanie ustalona przez goszczącą instytucję.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 czas trwania pobytu studentów, zostaną oni zakwaterowani na uczelni przyjmującej(koszty przelotu, koszty zakwaterowania, ubezpieczenie, czesne, opłaty kredytowe i koszty podręcznika są pokrywane przez TaiwanICDF). Więcej szczegółów na temat zalet wyjazdu można znaleźć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tutaj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Termin składania wniosków: </w:t>
      </w:r>
      <w:r w:rsidDel="00000000" w:rsidR="00000000" w:rsidRPr="00000000">
        <w:rPr>
          <w:rtl w:val="0"/>
        </w:rPr>
        <w:t xml:space="preserve">15 Marca 2020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Informacje pochodzą ze strony: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http://www.icdf.org.tw/ct.asp?xItem=12505&amp;CtNode=30316&amp;mp=2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56DD9"/>
  </w:style>
  <w:style w:type="paragraph" w:styleId="Nagwek1">
    <w:name w:val="heading 1"/>
    <w:basedOn w:val="Normalny"/>
    <w:next w:val="Normalny"/>
    <w:link w:val="Nagwek1Znak"/>
    <w:uiPriority w:val="9"/>
    <w:qFormat w:val="1"/>
    <w:rsid w:val="00701329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70132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cze">
    <w:name w:val="Hyperlink"/>
    <w:basedOn w:val="Domylnaczcionkaakapitu"/>
    <w:uiPriority w:val="99"/>
    <w:unhideWhenUsed w:val="1"/>
    <w:rsid w:val="0070132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df.org.tw/ct.asp?xItem=12505&amp;CtNode=30316&amp;mp=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cdf.org.tw/public/Attachment/9123110105317.pdf" TargetMode="External"/><Relationship Id="rId8" Type="http://schemas.openxmlformats.org/officeDocument/2006/relationships/hyperlink" Target="http://www.icdf.org.tw/public/Attachment/312252040368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93CAjsnezRcTupd7tNNkaKEJDA==">AMUW2mVnSaILsY9mkDOrkC3ighaMsfs5gFm9g8Ylq1tTTNX2lm20osWGx/D8DlqMqdd2qe10USK25UEN6tlI6vIckoASMCrWdcVwQh9GC5aj3FjDEvJnfqI=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2020-01-09T08:52:00Z</dcterms:created>
  <dc:creator>Anna Weksej</dc:creator>
</cp:coreProperties>
</file>