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default" w:hAnsi="Times New Roman" w:eastAsia="Times New Roman" w:asciiTheme="majorAscii"/>
          <w:b/>
          <w:bCs/>
          <w:sz w:val="32"/>
          <w:szCs w:val="32"/>
        </w:rPr>
      </w:pPr>
      <w:bookmarkStart w:id="0" w:name="page1"/>
      <w:bookmarkEnd w:id="0"/>
    </w:p>
    <w:p>
      <w:pPr>
        <w:spacing w:line="360" w:lineRule="auto"/>
        <w:rPr>
          <w:rFonts w:hint="default" w:hAnsi="Times New Roman" w:eastAsia="Times New Roman" w:asciiTheme="majorAscii"/>
          <w:b/>
          <w:bCs/>
          <w:sz w:val="32"/>
          <w:szCs w:val="32"/>
        </w:rPr>
      </w:pPr>
      <w:r>
        <w:rPr>
          <w:rFonts w:hint="default" w:hAnsi="Times New Roman" w:eastAsia="Times New Roman" w:asciiTheme="majorAscii"/>
          <w:b/>
          <w:bCs/>
          <w:sz w:val="32"/>
          <w:szCs w:val="32"/>
        </w:rPr>
        <w:t>Telemedycyna w Danii</w:t>
      </w:r>
    </w:p>
    <w:p>
      <w:pPr>
        <w:spacing w:line="0" w:lineRule="atLeast"/>
        <w:rPr>
          <w:rFonts w:hint="default" w:ascii="Times New Roman" w:hAnsi="Times New Roman" w:eastAsia="Times New Roman"/>
          <w:sz w:val="24"/>
        </w:rPr>
      </w:pPr>
    </w:p>
    <w:p>
      <w:pPr>
        <w:spacing w:line="0" w:lineRule="atLeast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i/>
          <w:iCs/>
          <w:sz w:val="24"/>
        </w:rPr>
        <w:t>Lars Hulbæk</w:t>
      </w:r>
      <w:r>
        <w:rPr>
          <w:rFonts w:hint="default" w:ascii="Times New Roman" w:hAnsi="Times New Roman" w:eastAsia="Times New Roman"/>
          <w:sz w:val="28"/>
          <w:szCs w:val="21"/>
          <w:vertAlign w:val="superscript"/>
          <w:lang w:val="pl-PL"/>
        </w:rPr>
        <w:t>1</w:t>
      </w:r>
      <w:r>
        <w:rPr>
          <w:rFonts w:hint="default" w:ascii="Times New Roman" w:hAnsi="Times New Roman" w:eastAsia="Times New Roman"/>
          <w:sz w:val="24"/>
        </w:rPr>
        <w:t>,</w:t>
      </w:r>
      <w:r>
        <w:rPr>
          <w:rFonts w:hint="default" w:ascii="Times New Roman" w:hAnsi="Times New Roman" w:eastAsia="Times New Roman"/>
          <w:i/>
          <w:iCs/>
          <w:sz w:val="24"/>
        </w:rPr>
        <w:t>Ole Winding</w:t>
      </w:r>
      <w:r>
        <w:rPr>
          <w:rFonts w:hint="default" w:ascii="Times New Roman" w:hAnsi="Times New Roman" w:eastAsia="Times New Roman"/>
          <w:sz w:val="24"/>
          <w:vertAlign w:val="superscript"/>
          <w:lang w:val="pl-PL"/>
        </w:rPr>
        <w:t>2</w:t>
      </w:r>
      <w:r>
        <w:rPr>
          <w:rFonts w:hint="default" w:ascii="Times New Roman" w:hAnsi="Times New Roman" w:eastAsia="Times New Roman"/>
          <w:sz w:val="24"/>
        </w:rPr>
        <w:t xml:space="preserve"> </w:t>
      </w:r>
    </w:p>
    <w:p>
      <w:pPr>
        <w:spacing w:line="0" w:lineRule="atLeast"/>
        <w:rPr>
          <w:rFonts w:hint="default" w:ascii="Times New Roman" w:hAnsi="Times New Roman" w:eastAsia="Times New Roman"/>
          <w:sz w:val="24"/>
        </w:rPr>
      </w:pPr>
    </w:p>
    <w:p>
      <w:pPr>
        <w:spacing w:line="0" w:lineRule="atLeast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  <w:vertAlign w:val="superscript"/>
          <w:lang w:val="pl-PL"/>
        </w:rPr>
        <w:t>1</w:t>
      </w:r>
      <w:r>
        <w:rPr>
          <w:rFonts w:hint="default" w:ascii="Times New Roman" w:hAnsi="Times New Roman" w:eastAsia="Times New Roman"/>
          <w:sz w:val="24"/>
        </w:rPr>
        <w:t>MedCom, Chief Consultant, Master of Economics</w:t>
      </w:r>
    </w:p>
    <w:p>
      <w:pPr>
        <w:spacing w:line="0" w:lineRule="atLeast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MedCom/Telemedicine, Danish Centre for Health-Telematics, www.medcom.dk</w:t>
      </w:r>
    </w:p>
    <w:p>
      <w:pPr>
        <w:spacing w:line="0" w:lineRule="atLeast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Rugaardsvej 15, 2.sal, DK-5000 Odense C</w:t>
      </w:r>
    </w:p>
    <w:p>
      <w:pPr>
        <w:spacing w:line="0" w:lineRule="atLeast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LHF@health-telematics.dk</w:t>
      </w:r>
    </w:p>
    <w:p>
      <w:pPr>
        <w:spacing w:line="0" w:lineRule="atLeast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  <w:vertAlign w:val="superscript"/>
          <w:lang w:val="pl-PL"/>
        </w:rPr>
        <w:t>2</w:t>
      </w:r>
      <w:r>
        <w:rPr>
          <w:rFonts w:hint="default" w:ascii="Times New Roman" w:hAnsi="Times New Roman" w:eastAsia="Times New Roman"/>
          <w:sz w:val="24"/>
        </w:rPr>
        <w:t>Danish Society for Clinical Telemedicine</w:t>
      </w:r>
    </w:p>
    <w:p>
      <w:pPr>
        <w:spacing w:line="0" w:lineRule="atLeast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Associate Professor Emer. MD Sc</w:t>
      </w:r>
    </w:p>
    <w:p>
      <w:pPr>
        <w:spacing w:line="0" w:lineRule="atLeast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President, Danish Society for Clinical Telemedicine, www.dskt.dk</w:t>
      </w:r>
    </w:p>
    <w:p>
      <w:pPr>
        <w:spacing w:line="0" w:lineRule="atLeast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University of Copenhagen, Faculty of Health Sciences, Inst. of Molecular Pathology,</w:t>
      </w:r>
    </w:p>
    <w:p>
      <w:pPr>
        <w:spacing w:line="0" w:lineRule="atLeast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The Protein Laboratory, Blegdamsvej 3C, 6.2, DK-2200 Copenhagen</w:t>
      </w:r>
    </w:p>
    <w:p>
      <w:pPr>
        <w:spacing w:line="0" w:lineRule="atLeast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owi@plab.ku.dk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040" w:leftChars="0" w:right="0" w:rightChars="0" w:firstLine="720" w:firstLineChars="0"/>
        <w:jc w:val="left"/>
        <w:textAlignment w:val="auto"/>
        <w:outlineLvl w:val="9"/>
        <w:rPr>
          <w:rFonts w:hint="default" w:ascii="Times New Roman" w:hAnsi="Times New Roman" w:eastAsia="Times New Roman"/>
          <w:sz w:val="28"/>
          <w:szCs w:val="28"/>
          <w:lang w:val="pl-PL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pl-PL"/>
        </w:rPr>
        <w:t>Streszczenie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760" w:leftChars="0" w:right="0" w:rightChars="0" w:firstLine="720" w:firstLineChars="0"/>
        <w:jc w:val="left"/>
        <w:textAlignment w:val="auto"/>
        <w:outlineLvl w:val="9"/>
        <w:rPr>
          <w:rFonts w:hint="default" w:ascii="Times New Roman" w:hAnsi="Times New Roman" w:eastAsia="Times New Roman"/>
          <w:i/>
          <w:iCs/>
          <w:sz w:val="24"/>
        </w:rPr>
      </w:pPr>
      <w:r>
        <w:rPr>
          <w:rFonts w:hint="default" w:ascii="Times New Roman" w:hAnsi="Times New Roman" w:eastAsia="Times New Roman"/>
          <w:i/>
          <w:iCs/>
          <w:sz w:val="24"/>
        </w:rPr>
        <w:t>W duńskim sektorze ochrony zdrowia ugruntowały się tradycje komunikacji elektronicznej między poszczególnymi jednostkami. W krajowej sieci opieki zdrowotnej najbardziej rozpowszechnione są aplikacje funkcjonujące na polu telemedycyny, teleradiologii i teledermatologii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760" w:leftChars="0" w:right="0" w:rightChars="0" w:firstLine="720" w:firstLineChars="0"/>
        <w:jc w:val="left"/>
        <w:textAlignment w:val="auto"/>
        <w:outlineLvl w:val="9"/>
        <w:rPr>
          <w:rFonts w:hint="default" w:ascii="Times New Roman" w:hAnsi="Times New Roman" w:eastAsia="Times New Roman"/>
          <w:i/>
          <w:iCs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040" w:leftChars="0" w:right="0" w:rightChars="0" w:firstLine="720" w:firstLine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b/>
          <w:bCs/>
          <w:sz w:val="24"/>
        </w:rPr>
        <w:t>Słowa kluczowe:</w:t>
      </w:r>
      <w:r>
        <w:rPr>
          <w:rFonts w:hint="default" w:ascii="Times New Roman" w:hAnsi="Times New Roman" w:eastAsia="Times New Roman"/>
          <w:sz w:val="24"/>
        </w:rPr>
        <w:t xml:space="preserve"> telemedycyna</w:t>
      </w:r>
      <w:r>
        <w:rPr>
          <w:rFonts w:hint="default" w:ascii="Times New Roman" w:hAnsi="Times New Roman" w:eastAsia="Times New Roman"/>
          <w:sz w:val="24"/>
          <w:lang w:val="pl-PL"/>
        </w:rPr>
        <w:t xml:space="preserve">, </w:t>
      </w:r>
      <w:r>
        <w:rPr>
          <w:rFonts w:hint="default" w:ascii="Times New Roman" w:hAnsi="Times New Roman" w:eastAsia="Times New Roman"/>
          <w:sz w:val="24"/>
        </w:rPr>
        <w:t>Krajowa Strategia Technologii Informacyjnych, teleradiologia, teledermatologia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</w:rPr>
        <w:t>Telemedycyna w krajowej opiece zdrowotnej - strategia IT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</w:rPr>
        <w:t>(Technologii Informacyjnych)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Krajowa Strategia IT 2003-2007 dla duńskiego sektora ochrony zdrowia stanowi, iż obecne zastosowanie telemedycyny w Danii jest dosyć ograniczone i wykorzystywane głównie w szpitalach. W związku z dalszymi aplikacjami rozwiązań telemedycznych Strategia zaleca narodową koordynację projektu na tym polu.</w:t>
      </w:r>
      <w:r>
        <w:rPr>
          <w:rFonts w:hint="default" w:ascii="Times New Roman" w:hAnsi="Times New Roman" w:eastAsia="Times New Roman"/>
          <w:sz w:val="24"/>
          <w:vertAlign w:val="superscript"/>
          <w:lang w:val="pl-PL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</w:rPr>
        <w:t>Telemedycyna w szpitalach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Jesienią 2003 roku Duńskie Towarzystwo na rzecz Telemedycyny Klinicznej przeprowadziło we wszystkich duńskich szpitalach badanie opinii na temat telemedycyny i jej rzeczywistego wykorzystania w warunkach klinicznych.2 Odpowiedzi uzyskano z 71 ośrodków. Badanie wykazało, iż 41 ośrodków stosuje telemedycynę kliniczną jako część swojej codziennej pracy, a w 31 ośrodkach realizowano projekty w zakresie telemedycyny klinicznej. Natomiast 102 ośrodki wykazały zainteresowanie możliwością rozpoczęcia projektu telemedycznego.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 xml:space="preserve">   Telemedycyna kliniczna jest wykorzystywana w codziennej praktyce w następujących specjalizacjach: patologia, kardiologia, dermatologia, radiologia, okulistyka, nafrologia, audiologia, ginekologia/położnictwo i pediatria.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 xml:space="preserve">   Można wnioskować, że znaczna liczba specjalizacji klinicznych korzysta już z telemedycyny klinicznej, a pozostałe wyrażają chęć jej wdrożenia. Zatem aktualnie wiele lokalnych projektów telemedycznych zostało zainicjowanych w sektorze szpitalnym. Teleradiologia w</w:t>
      </w:r>
      <w:r>
        <w:rPr>
          <w:rFonts w:hint="default" w:ascii="Times New Roman" w:hAnsi="Times New Roman" w:eastAsia="Times New Roman"/>
          <w:sz w:val="24"/>
          <w:lang w:val="pl-PL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duńskich szpitalach jest zdecydowanie najbardziej wykorzystywaną aplikacją telemedyczną.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</w:rPr>
        <w:t>Teleradiologia: "Wyszukiwanie radiogramów i opisów poprzez Internet"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Celem projektu "Analiza zdjęć RTG i opisów przez Internet" (2002-2005) było umożliwienie pracownikom służby zdrowia bezpośredniego dostępu do centralnego rejestru danych pacjentów przechowywanych w innym okręgu administracyjnym lub w szpitalu posiadającym własny Radiologiczny System Informacyjny (RIS) lub też w Systemie PACS (System Archiwizacji i Komunikacji), włącznie z powiązaniem z przypadkami konsultowanymi i leczonymi w trybie ostrym z dowolnym wyborem pacjentów lub przygotowaniem leczenia nowego pacjenta.</w:t>
      </w:r>
      <w:r>
        <w:rPr>
          <w:rFonts w:hint="default" w:ascii="Times New Roman" w:hAnsi="Times New Roman" w:eastAsia="Times New Roman"/>
          <w:sz w:val="24"/>
          <w:vertAlign w:val="superscript"/>
          <w:lang w:val="pl-PL"/>
        </w:rPr>
        <w:t>3</w:t>
      </w:r>
      <w:r>
        <w:rPr>
          <w:rFonts w:hint="default" w:ascii="Times New Roman" w:hAnsi="Times New Roman" w:eastAsia="Times New Roman"/>
          <w:sz w:val="24"/>
          <w:vertAlign w:val="baseline"/>
          <w:lang w:val="pl-PL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Pracownicy ochrony zdrowia mogą szybko uzyskać informacje, korzystając z przeglądari internetowej, co sprawia, że leczenie pacjenta jest bardziej efektywne i najwyższej jakości. Przeglądarka (</w:t>
      </w:r>
      <w:r>
        <w:rPr>
          <w:rFonts w:hint="default" w:ascii="Times New Roman" w:hAnsi="Times New Roman" w:eastAsia="Times New Roman"/>
          <w:i/>
          <w:iCs/>
          <w:sz w:val="24"/>
        </w:rPr>
        <w:t>Web lookup</w:t>
      </w:r>
      <w:r>
        <w:rPr>
          <w:rFonts w:hint="default" w:ascii="Times New Roman" w:hAnsi="Times New Roman" w:eastAsia="Times New Roman"/>
          <w:sz w:val="24"/>
        </w:rPr>
        <w:t>) umożliwia również równoległe używanie innych serwisów telemedycznych, np. serwisów umożliwiających zasięgnięcie opinii innego eksperta. Ze względu na niedobów specjalistów w dziedzinie radiologii, ten rodzaj rozwiązań telemedycyny stale się rozwija, być może dzięki współpracy między obsługą szpitala a specjalistami prywatnych praktyk lub prywatnych klinik radiologicznych. Rozwiązania oparte na przeglądarce będą użyteczne dla lekarza rodzinnego w sytuacji, gdy musi poinformować pacjenta o jego chorobie i leczeniu, jako że zdjęcia rentgenowskie wzmacniają płaszczyznę dialogu z pacjentem.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 xml:space="preserve">  Siedem okręgów administracyjnych podłączyło się do serwerów PACS lub RIS w Internetowej Sieci Danych Opieki Zdrowotnej podczas trwania projektu. W mniej lub bardziej określonych projektach pilotażowych informacje stały się dostępne dla partnerów także poza ich własnymi organizacjami. Informacje były dostępne poprzez przeglądarkę w zabezpieczonej Sieci Danych Ochrony Zdrowia. Tymczasowe doświadczenie sugerują, że rozwiązania zastosowane w przeglądarce zdjęć rentgenowskich są szczególnie użyteczne w przypadkach konsultowanych między szpitalami a klinikami prywatnymi oraz do celów dydaktycznych w ogólnej praktyce lekarskiej. Nagła potrzeba wymiany informacji radiologicznej pomiędzy szpitalami opiera się na bieżącym teleradiologicznym transferze radiogramów, mającym miejsce w wielu lokalizacjach poprzez Sieć Danych Ochrony Zdrowia.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</w:rPr>
        <w:t>Telemedycyna w podstawowej opiece zdrowotnej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Biorąc pod uwagę lekarzy podstawowej opieki zdrowotnej, 98% personelu używa komunikacji EDI (</w:t>
      </w:r>
      <w:r>
        <w:rPr>
          <w:rFonts w:hint="default" w:ascii="Times New Roman" w:hAnsi="Times New Roman" w:eastAsia="Times New Roman"/>
          <w:i/>
          <w:iCs/>
          <w:sz w:val="24"/>
        </w:rPr>
        <w:t>Electronic Data Interchange</w:t>
      </w:r>
      <w:r>
        <w:rPr>
          <w:rFonts w:hint="default" w:ascii="Times New Roman" w:hAnsi="Times New Roman" w:eastAsia="Times New Roman"/>
          <w:sz w:val="24"/>
        </w:rPr>
        <w:t xml:space="preserve"> - Elektronicznej wymiany danych) do łączenia się z innymi ośrodkami opieki podstawowej lub wyższego szczebla, a także z innymi organizacjami. Każdego miesiąca wewnątrz Duńskiej Sieci Danych Ochrony Zdrowia wymienianych jest 3,5 mln wiadomości EDI, są to głównie recepty, wypisy, skierowania oraz wyniki badań laboratoryjnych.</w:t>
      </w:r>
      <w:r>
        <w:rPr>
          <w:rFonts w:hint="default" w:ascii="Times New Roman" w:hAnsi="Times New Roman" w:eastAsia="Times New Roman"/>
          <w:sz w:val="24"/>
          <w:vertAlign w:val="superscript"/>
          <w:lang w:val="pl-PL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Ponadto MedCom założył krajową sieć teledermatologiczną.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</w:rPr>
        <w:t>Teledermatologia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Teledermatologia oparta jest na przesyłaniu obrazów cyfrowych stanu skóry jako dodatku do tradycyjnej współpracy i skierowań pacjentów pomiędzy lekarzami praktykującymi ogólnie i specjalistami dermatologii.</w:t>
      </w:r>
      <w:r>
        <w:rPr>
          <w:rFonts w:hint="default" w:ascii="Times New Roman" w:hAnsi="Times New Roman" w:eastAsia="Times New Roman"/>
          <w:sz w:val="24"/>
          <w:vertAlign w:val="superscript"/>
          <w:lang w:val="pl-PL"/>
        </w:rPr>
        <w:t>5</w:t>
      </w:r>
      <w:r>
        <w:rPr>
          <w:rFonts w:hint="default" w:ascii="Times New Roman" w:hAnsi="Times New Roman" w:eastAsia="Times New Roman"/>
          <w:sz w:val="24"/>
        </w:rPr>
        <w:t xml:space="preserve"> Ostatecznymi celami projektu teledermatologii (2002-2005) stały się: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a) Zastąpienie/wzbogacenie ogólnego skierowania do specjalisty dermatologa poprzez konsultacje telemedyczne.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b) Zapewnienie pacjentowi równorzędnego i szybkiego dostępy do specjalisty celem oceny obrazów skóry za pośrednictwem lekarza rodzinnego.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c) Wspieranie ustawicznego szkolenia lekarzy ogólnie praktykujących na drodze ich połączeń ze specjalistami w dziedzinie dermatologii.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d) Założenie jednolitej ogólnokrajowej opłaty prowizyjnej za konsultacje telemedyczne obrazów chorób skóry.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 xml:space="preserve">  Następujące działania były wykonywane w okresie projektu: przedstawienie wytycznych w ochronie zdrowia, kurs fotografii cyfrowej, projekt pilotażowy oraz opracowanie standardu MedBin.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480" w:leftChars="0" w:right="0" w:rightChars="0" w:firstLine="720" w:firstLineChars="0"/>
        <w:jc w:val="left"/>
        <w:textAlignment w:val="auto"/>
        <w:outlineLvl w:val="9"/>
        <w:rPr>
          <w:rFonts w:hint="default" w:ascii="Times New Roman" w:hAnsi="Times New Roman" w:eastAsia="Times New Roman"/>
          <w:i/>
          <w:iCs/>
          <w:sz w:val="24"/>
          <w:lang w:val="pl-PL"/>
        </w:rPr>
      </w:pPr>
      <w:r>
        <w:rPr>
          <w:rFonts w:hint="default" w:ascii="Times New Roman" w:hAnsi="Times New Roman" w:eastAsia="Times New Roman"/>
          <w:i/>
          <w:iCs/>
          <w:sz w:val="24"/>
          <w:lang w:val="pl-PL"/>
        </w:rPr>
        <w:t>Hulb</w:t>
      </w:r>
      <w:r>
        <w:rPr>
          <w:rFonts w:hint="default" w:ascii="Times New Roman" w:hAnsi="Times New Roman" w:eastAsia="Times New Roman"/>
          <w:i/>
          <w:iCs/>
          <w:sz w:val="24"/>
        </w:rPr>
        <w:t>æ</w:t>
      </w:r>
      <w:r>
        <w:rPr>
          <w:rFonts w:hint="default" w:ascii="Times New Roman" w:hAnsi="Times New Roman" w:eastAsia="Times New Roman"/>
          <w:i/>
          <w:iCs/>
          <w:sz w:val="24"/>
          <w:lang w:val="pl-PL"/>
        </w:rPr>
        <w:t>k, Winding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>Wytyczne w ochronie zdrowia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</w:rPr>
        <w:t xml:space="preserve">  Ustalono i zapisano wytyczne w ochronie zdrowia dotyczące praktycznych warunków połączeń i współpracy pomiędzy lekarzami ogólnie praktykującymi i dermatologami, włącznie z zawartością skierowań i kartami wypisowymi we wzajemnej współpracy teledermatologicznej. Wytyczne opracowano przy współpracy z Duńskim Towarzystwem Lekarzy Ogólnie Praktykujących i Duńskim Stowarzyszeniem Dermatologii i Wenerologii.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b/>
          <w:bCs/>
          <w:i/>
          <w:iCs/>
          <w:sz w:val="24"/>
          <w:lang w:val="pl-PL"/>
        </w:rPr>
      </w:pPr>
      <w:r>
        <w:rPr>
          <w:rFonts w:hint="default" w:ascii="Times New Roman" w:hAnsi="Times New Roman" w:eastAsia="Times New Roman"/>
          <w:b/>
          <w:bCs/>
          <w:i/>
          <w:iCs/>
          <w:sz w:val="24"/>
          <w:lang w:val="pl-PL"/>
        </w:rPr>
        <w:t>Kurs fotografii cyfrowej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lang w:val="pl-PL"/>
        </w:rPr>
      </w:pPr>
      <w:r>
        <w:rPr>
          <w:rFonts w:hint="default" w:ascii="Times New Roman" w:hAnsi="Times New Roman" w:eastAsia="Times New Roman"/>
          <w:b/>
          <w:bCs/>
          <w:i/>
          <w:iCs/>
          <w:sz w:val="24"/>
          <w:lang w:val="pl-PL"/>
        </w:rPr>
        <w:t xml:space="preserve">  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lang w:val="pl-PL"/>
        </w:rPr>
        <w:t>We współpracy ze specjalistami dermatologii MedCom wydał instrukcję w formie CD “Jak zrobić prawidłową fotografię fragmentu skóry w dwie minuty” z praktycznymi poradami z zakresu technik fotografowania i ustawienia pacjenta do fotografii podczas konsultacji. Materiał ten stał się podstawą wielu kursów fotografii dla lekarzy praktyków.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lang w:val="pl-P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b/>
          <w:bCs/>
          <w:i/>
          <w:iCs/>
          <w:sz w:val="24"/>
          <w:lang w:val="pl-PL"/>
        </w:rPr>
      </w:pPr>
      <w:r>
        <w:rPr>
          <w:rFonts w:hint="default" w:ascii="Times New Roman" w:hAnsi="Times New Roman" w:eastAsia="Times New Roman"/>
          <w:b/>
          <w:bCs/>
          <w:i/>
          <w:iCs/>
          <w:sz w:val="24"/>
          <w:lang w:val="pl-PL"/>
        </w:rPr>
        <w:t>Projekt pilotażowy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240"/>
        <w:jc w:val="left"/>
        <w:textAlignment w:val="auto"/>
        <w:outlineLvl w:val="9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lang w:val="pl-PL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lang w:val="pl-PL"/>
        </w:rPr>
        <w:t>Osiem okręgów administracyjnych wraz z Korporacją Szpitali Kopenhagi wykazuje aktywności w zakresie teledermatologii w różnym stopniu i skali w czasie trwania projektu. W wielu miejscach projekt bazował na porozumieniach Sekcji 2 i 3 pomiędzy placówkami Narodowego Seriwsu Ochrony Zdrowia i lekarzami praktykami dotyczących opłat wnoszonych za usługi lekarzy praktykujących ogólnie i lekarzy praktykujących w zakresie dermatologii.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240"/>
        <w:jc w:val="left"/>
        <w:textAlignment w:val="auto"/>
        <w:outlineLvl w:val="9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lang w:val="pl-P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b/>
          <w:bCs/>
          <w:i/>
          <w:iCs/>
          <w:sz w:val="24"/>
          <w:lang w:val="pl-PL"/>
        </w:rPr>
      </w:pPr>
      <w:r>
        <w:rPr>
          <w:rFonts w:hint="default" w:ascii="Times New Roman" w:hAnsi="Times New Roman" w:eastAsia="Times New Roman"/>
          <w:b/>
          <w:bCs/>
          <w:i/>
          <w:iCs/>
          <w:sz w:val="24"/>
          <w:lang w:val="pl-PL"/>
        </w:rPr>
        <w:t>Standard MedBin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240"/>
        <w:jc w:val="left"/>
        <w:textAlignment w:val="auto"/>
        <w:outlineLvl w:val="9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lang w:val="pl-PL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lang w:val="pl-PL"/>
        </w:rPr>
        <w:t xml:space="preserve">Cyfrowe obrazy chorób skóry były w większości przypadków przesyłane zwykłą pocztą elektroniczną z załącznikami w postaci anonimizowanego materiału zdjęciowego, podczas gdy skierowanie pacjenta następowało przy wykorzystaniu EDI. Procedura ta wymagała licznych procedur przeprowadzanych manualnie zarówno po stronie nadawcy , jak i odbiorcy. Intencja wymiany obrazów w przyszłości będzie dotyczyć zastosowania standardu MedBin, w którym nadawca dysponuje systemem automatycznej rejestracji i łączy materiał obrazowy do skierowania, a po stronie odbiorcy automatyczny system rejestracyjny archiwizuje zdjęcia i skierowanie, a następnie dołącza je do elektronicznej historii choroby. Wszyscy znaczący dostawcy systemów rejestrowania dla specjalistycznej praktyki dermatologicznej oraz większość </w:t>
      </w:r>
      <w:bookmarkStart w:id="1" w:name="_GoBack"/>
      <w:bookmarkEnd w:id="1"/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lang w:val="pl-PL"/>
        </w:rPr>
        <w:t>dostawców elektronicznych systemów rejestracyjnych stosowanych w ogólnej praktyce lekarskiejaktualnie wspierają zastosowanie standardu MedBin w teledermatologii.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240"/>
        <w:jc w:val="left"/>
        <w:textAlignment w:val="auto"/>
        <w:outlineLvl w:val="9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lang w:val="pl-P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240"/>
        <w:jc w:val="left"/>
        <w:textAlignment w:val="auto"/>
        <w:outlineLvl w:val="9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lang w:val="pl-P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240"/>
        <w:jc w:val="left"/>
        <w:textAlignment w:val="auto"/>
        <w:outlineLvl w:val="9"/>
        <w:rPr>
          <w:rFonts w:hint="default" w:ascii="Times New Roman" w:hAnsi="Times New Roman" w:eastAsia="Times New Roman"/>
          <w:b/>
          <w:bCs/>
          <w:i/>
          <w:iCs/>
          <w:sz w:val="28"/>
          <w:szCs w:val="28"/>
          <w:lang w:val="pl-PL"/>
        </w:rPr>
      </w:pPr>
      <w:r>
        <w:rPr>
          <w:rFonts w:hint="default" w:ascii="Times New Roman" w:hAnsi="Times New Roman" w:eastAsia="Times New Roman"/>
          <w:b/>
          <w:bCs/>
          <w:i/>
          <w:iCs/>
          <w:sz w:val="28"/>
          <w:szCs w:val="28"/>
          <w:lang w:val="pl-PL"/>
        </w:rPr>
        <w:t>Piśmiennictwo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240"/>
        <w:jc w:val="left"/>
        <w:textAlignment w:val="auto"/>
        <w:outlineLvl w:val="9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240"/>
        <w:jc w:val="left"/>
        <w:textAlignment w:val="auto"/>
        <w:outlineLvl w:val="9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  <w:t>“The National IT Strategy 2003-2007 for the Danish Healthcare Sector”, the Ministry of Health, May 2003 (in Danish)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240"/>
        <w:jc w:val="left"/>
        <w:textAlignment w:val="auto"/>
        <w:outlineLvl w:val="9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  <w:t>Winding O: “Do the Hospitals need clinical telemedicine?” Ugeskrift for Laeger 2004;166(36):3118, Danish Medical Association (in Danish)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240"/>
        <w:jc w:val="left"/>
        <w:textAlignment w:val="auto"/>
        <w:outlineLvl w:val="9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  <w:t xml:space="preserve"> Hulb</w:t>
      </w:r>
      <w:r>
        <w:rPr>
          <w:rFonts w:hint="default" w:ascii="Times New Roman" w:hAnsi="Times New Roman" w:eastAsia="Times New Roman"/>
          <w:i w:val="0"/>
          <w:iCs w:val="0"/>
          <w:sz w:val="24"/>
        </w:rPr>
        <w:t>æ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  <w:t>k L (ed.): “MedComIV - how it turned out”, MedCom, December 2005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240"/>
        <w:jc w:val="left"/>
        <w:textAlignment w:val="auto"/>
        <w:outlineLvl w:val="9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  <w:instrText xml:space="preserve"> HYPERLINK "http://www.medcom.dk" </w:instrTex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  <w:t>www.medcom.dk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240"/>
        <w:jc w:val="left"/>
        <w:textAlignment w:val="auto"/>
        <w:outlineLvl w:val="9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  <w:t xml:space="preserve"> Hulb</w:t>
      </w:r>
      <w:r>
        <w:rPr>
          <w:rFonts w:hint="default" w:ascii="Times New Roman" w:hAnsi="Times New Roman" w:eastAsia="Times New Roman"/>
          <w:i w:val="0"/>
          <w:iCs w:val="0"/>
          <w:sz w:val="24"/>
        </w:rPr>
        <w:t>æ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  <w:t>k L(ed.): “MedComIV - how it turned out”, MedCom, December 2005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val="pl-P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ascii="Times New Roman" w:hAnsi="Times New Roman" w:eastAsia="Times New Roman"/>
          <w:sz w:val="24"/>
        </w:rPr>
      </w:pPr>
    </w:p>
    <w:sectPr>
      <w:pgSz w:w="12240" w:h="15840"/>
      <w:pgMar w:top="1440" w:right="1440" w:bottom="1440" w:left="1440" w:header="0" w:footer="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9897"/>
    <w:multiLevelType w:val="singleLevel"/>
    <w:tmpl w:val="5A35989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B6D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</w:tblPr>
  </w:style>
  <w:style w:type="character" w:styleId="3">
    <w:name w:val="Emphasis"/>
    <w:basedOn w:val="2"/>
    <w:qFormat/>
    <w:uiPriority w:val="20"/>
    <w:rPr>
      <w:i/>
      <w:iCs/>
    </w:rPr>
  </w:style>
  <w:style w:type="character" w:styleId="4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Office_10.2.0.5978_F1E327BC-269C-435d-A152-05C5408002CA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2017-12-16T21:35:02Z</dcterms:created>
  <cp:lastModifiedBy>ASUS</cp:lastModifiedBy>
  <dcterms:modified xsi:type="dcterms:W3CDTF">2017-12-16T22:08:46Z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